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ШАБЛОН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Политика обработки персональных данных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1. Общие положения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1.1 Настоящая Политика в отношении обработки персональных данных (далее – «Политика») подготовлена в соответствии с п. 2 ч.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 ст. 18.1 Федерального закона Российской Федерации «О персональных данных» №152-ФЗ от 27 июля 2006 года (далее – «Закон») и определяет позицию ИП «Коломейцева Ирина Эрнестовна»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(далее –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И.Э.»)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 области обработки и защиты персональных данных (далее – персональные д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анные), в отношении соблюдения прав и свобод, описывает особенности сбора, хранения, использования и передачи персональных данных, реализуемые требования к их защите, а также информацию о правах лиц, к которым относятся соответствующие персональные данные.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1.2 Под персональными данными понимается любая информация, относящаяся прямо или косвенно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определенному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или определяемому физическому лицу (гражданину).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1.3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Под обработкой персональных данных понимается любое действие (операция) или совокупность действий (операций) с персональными данными, совершаемых с использованием средств автоматизации и/или без использования таких средств. К таким действиям (операциям) от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носятся в частности: сбор, запись, систематизация, накопление, хранение, уточнение (обновление, изменение), извлечение, использование, передача (предоставление, доступ), сопоставление, обезличивание, блокирование, удаление, уничтожение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1.4 Под безопасностью персональных данных понимается защищенность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персональных данных от неправомерного и/или несанкционированного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1.5 Политика распространяется на все действия, связанные с обработкой персональных данных на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сайте </w:t>
      </w:r>
      <w:hyperlink r:id="rId15" w:tooltip="http://www._________.ru" w:history="1">
        <w:r>
          <w:rPr>
            <w:rStyle w:val="728"/>
            <w:rFonts w:ascii="Times New Roman" w:hAnsi="Times New Roman" w:eastAsia="Times New Roman" w:cs="Times New Roman"/>
            <w:color w:val="auto"/>
            <w:sz w:val="24"/>
            <w:szCs w:val="24"/>
            <w:lang w:val="en-US" w:eastAsia="ru-RU"/>
          </w:rPr>
          <w:t xml:space="preserve">www</w:t>
        </w:r>
        <w:r>
          <w:rPr>
            <w:rStyle w:val="728"/>
            <w:rFonts w:ascii="Times New Roman" w:hAnsi="Times New Roman" w:eastAsia="Times New Roman" w:cs="Times New Roman"/>
            <w:color w:val="auto"/>
            <w:sz w:val="24"/>
            <w:szCs w:val="24"/>
            <w:lang w:eastAsia="ru-RU"/>
          </w:rPr>
          <w:t xml:space="preserve">.decoroomsalon.ru</w:t>
        </w:r>
      </w:hyperlink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(далее – «Сайт»)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и Контакт-центром, в информационных системах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1.6 Использование Сайта или Контакт-центра Пользователем также означает их безо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говорочное согласие с правилами Политики Конфиденциальности и указанными в ней условиями обработки персональных данных. Если Пользователь не согласен с условиями настоящей Политики, Пользователю следует воздержаться от использования Сайта и Контакт-центра.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1.7 Настоящая Политика распространяется на персональные данные, полученные как до, так и после ввода в действие настоящей Политики.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2. Правовые основания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 и цели обработки Персональных д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анных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</w:r>
      <w:r>
        <w:rPr>
          <w:b/>
          <w:bCs/>
        </w:rPr>
      </w:r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2.1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 осуществляет обработку и обеспечивает безопасность персональных данных для осуществления возложенных на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законодательством России функций, полномочий и обязанностей в том числе, но не ограничиваясь, в соо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тветствии с Конституцией Российской Федерации, федеральными законами, в частности Федеральным законом №152-ФЗ от 27 июля 2006 года "О персональных данных", подзаконных актов, других определяющих случаи и особенности обработки указанных персональных данных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федеральных законов Российской Федерации, руководящих и методических документов ФСТЭК России и ФСБ России, а также Гражданским кодексом Российской Федерации,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Налоговым кодексом Российской Федерации, Законом РФ №2300-1 от 7 февраля 1992 г. "О защите прав потребителей", Федеральным законом № 402-ФЗ от 6 декабря 2011 г. "О бухгалтерском учете", а также операторами персональных данных, уставом и локальными актами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2.2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является оператором персональных данных в соответствии с Законом.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2.3 Обработка персональных данных может осуществляться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 следующих случаях и на следующих правовых основаниях:</w:t>
      </w:r>
      <w:r/>
    </w:p>
    <w:p>
      <w:pPr>
        <w:pStyle w:val="732"/>
        <w:numPr>
          <w:ilvl w:val="0"/>
          <w:numId w:val="1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обработка персональных данных осуществляется только с согласия субъекта персональных данных, выраженного в любой форме, позволяющей подтвердить факт получения согласия, в том числе способами, указанными в п. 1.6. настоящей Политики;</w:t>
      </w:r>
      <w:r/>
    </w:p>
    <w:p>
      <w:pPr>
        <w:pStyle w:val="732"/>
        <w:numPr>
          <w:ilvl w:val="0"/>
          <w:numId w:val="1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персональных данных функций, полномочий и обязанностей;</w:t>
      </w:r>
      <w:r/>
    </w:p>
    <w:p>
      <w:pPr>
        <w:pStyle w:val="732"/>
        <w:numPr>
          <w:ilvl w:val="0"/>
          <w:numId w:val="1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для исполнения договора купли-продажи Товара между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 пользователем Сайта, который является физическим лицо, обладающим необходимым объемом дееспособности и имеющим намерение оформить или оформляющим Заказ на Товар через Сайт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;</w:t>
      </w:r>
      <w:r/>
    </w:p>
    <w:p>
      <w:pPr>
        <w:pStyle w:val="732"/>
        <w:numPr>
          <w:ilvl w:val="0"/>
          <w:numId w:val="1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/>
    </w:p>
    <w:p>
      <w:pPr>
        <w:pStyle w:val="732"/>
        <w:numPr>
          <w:ilvl w:val="0"/>
          <w:numId w:val="1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 статистических или иных маркетинговых и исследовательских целях при условии обязательного об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езличивания персональных данных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;</w:t>
      </w:r>
      <w:r/>
    </w:p>
    <w:p>
      <w:pPr>
        <w:pStyle w:val="732"/>
        <w:numPr>
          <w:ilvl w:val="0"/>
          <w:numId w:val="1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 иных целях, предусмотренных настоящей Политикой.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2.4. Субъектами персональн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ых данных, обрабатываемых посредством Сайта и работниками Контакт-центра, являются, в том числе пользователи Сайта, покупатели и получатели Товаров (если покупатель указал в качестве получателя Товара иное лицо); любые иные физические лица, обращающиеся 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с заявлениями /обращениями.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осуществляет обработку персональных да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нных покупателей для: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2.5.1.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заключения и исполнен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ия договоров, одной из сторон которых является Пользователь, в соответствии с Условиями заказа и доставки Сайта, в том числе договора розничной купли-продажи Товара, в т. ч. заключенного дистанционным способом на Сайте, договора возмездного оказания услуг;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2.5.2.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предоставления информации о Товарах, Акциях и специальных предложениях;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2.5.3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информирования о статусе Заказа;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2.5.4.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содействия в урегулировании претенз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ий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2.5.5. организации процесса возврата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Товаров;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2.5.6. пр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едоставление возможности оста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ять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отзыв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ы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 Товарах;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2.5.7.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анализа качества предоставляемого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сервиса и улучшению качества обслуживания клиентов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2.5.8.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идентификации Пользователей и Покупателей в Акциях, обеспечения процедуры начисления, учета, использования бонусных баллов программ лояльно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сти Пользователей и Покупателей.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3. Категории персональных данных, обрабатываемых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</w:r>
      <w:r>
        <w:rPr>
          <w:b/>
          <w:bCs/>
        </w:rPr>
      </w:r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3.1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обрабатывает следующие категории персональных данных Пользователей, получателей Товара: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сведения, полученные при регистрации, авторизации и оформлении заказа (фамилию, имя, отчество, дата рождения, пол, номер телефона, адрес электронной почты, адрес регистрации, рабочий адрес, адрес доставки, cookie);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сведения, полученные при взаимодействии с Покупателями (пол, возраст Покупателя, паспортные данные, данные платежных средств, город проживания и/или адрес);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сведения, полученные в связи с ра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змещением или исполнением Заказов Покупателя (сведения о способе доставки Товара, способе и состоянии оплаты Товара, а если конечный получатель Товара отличается от Покупателя, также фамилию, имя, отчество, адрес доставки и номер телефона грузополучателя);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сведения о претензиях Покупателя (переданных Покупателем с помощью Сайта, Контакт-центра или иным образом);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размещенные Покупателем отзывы о Товарах;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информацию о геолокации.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3.2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обрабатывает следующие категории персональных данных субъектов персональных данных, обращающихся 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с заявл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ениями о предполагаемом нарушении их прав: фамилия, имя, отчество, паспортные данные (данные иного документа, удостоверяющего личность), контактная информация (номера телефона и (или) факса, адрес электронной почты) правообладателя или иного лица, чье прав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 предположительно было нарушено, и (или) заявителя, если он действует в качестве уполномоченного представителя правообладателя или иного лица, чье право предположительно было нарушено, информацию о полученных заявлениях, ходе и результате их рассмотрения.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3.3 Персональные данные, указанные в пунктах настоящего Раздела выше, могут быть получены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 ходе предоставления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ПОКУПАТЕЛЕМ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персональных данных путем заполнения соответствующих форм на Сайте, посредством направления корреспонденции или электронных писем на адреса электронной почты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4. Принципы и условия обработки Персональных Данных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4.1 При обработке персональных данных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придерживается следующих принципов: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обработка персональных данных осуществляется на законной основе;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персональные данные не раскрываются третьим лицам и не распространяются без согласия субъекта персональных данных, за исключением предусмотренных законодательством России случаев;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определение конкретных законных целей до начала обработки (в т. ч. сбора)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объединение баз данных, в том числе, баз данных, содержащих персональные данные, обработка которых осуществляется в целях, несовместимых между собой, не допускается;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обработка персональных данных ограничивается достижением конкретных, заранее определенных и законных целей;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обрабатываемые персон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альные данные подлежат уничтожению или обезличиванию при отзыве согласия на их обработку субъектом персональных данных, по достижению целей обработки или в случае утраты необходимости в достижении этих целей, если иное не предусмотрено федеральным законом;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содержание и объем обрабатываемых персональных данных соответствуют заявленным целям обработки. Обрабатываемые персональные данные не являются избыточными по отношению к заявленным целям обработки;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при обработке персональных данных обеспечивается точность персональных данных и их достаточность, в случаях необходимости и актуальность персональных данных по отношению к заявленным целям их обработки;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хранение персональных данных осуществляется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 форме, позволяющей определить субъекта персональных данных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поручителем,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по которому является субъект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4.2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не осуществляет обработку персональных д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анных, касающихся расовой, национальной принадлежности, политических взглядов, религиозных, философских и иных убеждений, состояния здоровья, личной жизни, членства в общественных объединениях, в том числе в профессиональных союзах, биометрических данных.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не осуществляет голосовой ввод и верификацию персональных д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анных с использованием незащищенных каналов передачи данных. Передача данных субъектами персональных данных работникам Контакт-центр носит добровольный характер и подразумевает, что полученные данные будут использованы в соответствии с настоящей Политикой.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4.3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с использованием баз данных, находящихся на территории России, и не осуществляет трансграничную передачу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4.4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вправе поручить обработку персональных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данных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посредством совершения действий,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указанных в п. 1.3. настоящей Поли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тики третьим лицам, в том числе третьим лицам, перечисленным в п. 4.5. настоящей Политики, с согласия субъекта персональных данных, выраженного путем предоставления согласия, на основании заключаемого с такими третьими лицами договора, в следующих случаях: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для обработки обращений Покупателей и (или) Пользователей, третьих лиц посредством голосовых и неголосовых каналов связи, включая электронную почту, онлайн-чат, приложения для мобильных устройств и (или) социальные сети;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в целях доставки Товара Покупателям и Получателям;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в целях анализа качества предоставляемого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сервиса и улучшению качества обслуживания клиентов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(Пользователей и Покупателей);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в целях подготовки персональных предложений и условий обслуживания;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в целях персонализации рекламы;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в целях отправки рекламных и информационных сообщений;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в целях проведения статистических или иных маркетинговых исследований.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4.5.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вправе посредством сети «Интернет» с соблюдением положений действующего законодательства РФ передавать персональные данные Покупателей и Пользователей (Ф.И.О.; дата рождения, e-mail; номер мобильного телефона; информация о д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ействиях Покупателей и Пользователей, совершенных в рамках использования Сайта) третьим лицам, перечисленным в данном пункте Политики, с целью предоставления такими третьими лицами (самостоятельно или совместно) Покупателям и Пользователям предложений, рек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ламных и информационных материалов по продуктам таких третьих лиц, с целью подготовки персональных предложений и формирования индивидуальных условий обслуживания Покупателей и Пользователей, а также с целью проведения маркетинговых исследований и рассылок.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i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К перечню третьих лиц, которым передаются персональные данные с целью их обработки в соответствии с настоящим пунктом относятся: </w:t>
      </w:r>
      <w:r>
        <w:rPr>
          <w:rFonts w:ascii="Times New Roman" w:hAnsi="Times New Roman" w:eastAsia="Times New Roman" w:cs="Times New Roman"/>
          <w:i/>
          <w:color w:val="202020"/>
          <w:sz w:val="24"/>
          <w:szCs w:val="24"/>
          <w:lang w:eastAsia="ru-RU"/>
        </w:rPr>
        <w:t xml:space="preserve">Перечислить с</w:t>
      </w:r>
      <w:r>
        <w:rPr>
          <w:rFonts w:ascii="Times New Roman" w:hAnsi="Times New Roman" w:eastAsia="Times New Roman" w:cs="Times New Roman"/>
          <w:i/>
          <w:color w:val="202020"/>
          <w:sz w:val="24"/>
          <w:szCs w:val="24"/>
          <w:lang w:eastAsia="ru-RU"/>
        </w:rPr>
        <w:t xml:space="preserve">ервисы доставки (их может быть </w:t>
      </w:r>
      <w:r>
        <w:rPr>
          <w:rFonts w:ascii="Times New Roman" w:hAnsi="Times New Roman" w:eastAsia="Times New Roman" w:cs="Times New Roman"/>
          <w:i/>
          <w:color w:val="202020"/>
          <w:sz w:val="24"/>
          <w:szCs w:val="24"/>
          <w:lang w:eastAsia="ru-RU"/>
        </w:rPr>
        <w:t xml:space="preserve">несколько</w:t>
      </w:r>
      <w:r>
        <w:rPr>
          <w:rFonts w:ascii="Times New Roman" w:hAnsi="Times New Roman" w:eastAsia="Times New Roman" w:cs="Times New Roman"/>
          <w:i/>
          <w:color w:val="202020"/>
          <w:sz w:val="24"/>
          <w:szCs w:val="24"/>
          <w:lang w:eastAsia="ru-RU"/>
        </w:rPr>
        <w:t xml:space="preserve">) и сервиса Страхования (если предполагаются в ходе работы)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4.5.1. Лица, осуществляющие обработку персональных данных на основании заключаемого с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договора (поручен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ия оператора), включая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службы доставки, обязуются соблюдать принципы и правила обработки и защиты персональных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данных, предусмотренные действующим законодательством. Для каждого третьего лица в договоре определяются перечень действий (операций) с персональными данными, которые будут совершаться третьим лицом, осуществляющим обработку персональных данных, цели обра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ботки, устанавливается обязанность такого лица соблюдать конфиденциальность и обеспечивать безопасность персональных данных при их обработке, указываются требования к защите обрабатываемых персональных данных в соответствии с действующим законодательством.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4.6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вправе передавать персональные данные третьим лицам с согласия субъекта персональных данных в следующих случаях: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4.6.1 С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лужбам доставки для целей исполнения Заказа Покупателя, в т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ом числе, в случае получения требования о возврате Товара, приобретенного на Сайте, в целях рассмотрения требований и возврате и осуществления возврата, в случаях, предусмотренных Правилами заказа и иными разделами Сайта, в том числе при условии получения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заявления о нарушении интеллектуальных или иных прав третьих лиц, в целях урегулирования полученных претензий, в случае получения иных заявлений, отзывов, претензий, жалоб, сообщений или д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окументов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 в иных случаях и целях, согласно описанным в Правилах заказа;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4.6.2 в целях возможности защиты прав и законных интересов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или третьих лиц в случаях, когда субъект персональных данных нарушает какие-либо условия пользовательских документов Сайта и (или) настоящей Политикой;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4.6.3 по вступившему в силу судебному решению или в случаях, установленных действующим законодательством;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4.7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целях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лучшения качества обслуживания Пользователей и Покупателей, статистических или иных маркетинговых и исследовательских целях,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развивает, совершенствует, оптимизирует и внедряет новый функционал Сайта. Для обеспечения указанного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Пользователь или Покупатель соглашается и поручает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осуществлять с соблюдением применимого законодательства обработку (включая сбор, запись, систематизацию, накопление, хранение, уточнение (обновл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ение, изменение), сопоставление, извлечение, использование, обезличивание, блокирование, удаление и уничтожение) учетных и любых иных персональных данных Пользователя или Покупателя, в том числе имеющихся в распоряжении партнера, действующего по поручению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 передачу имеющихся в распоряжении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учетных и любых иных персональных данных Пользователя или Покупателя партнера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м во исполнение такого поручения на обработку и получение от партнеров по итогам обработки аналитической информации, включая результатов автоматизированной обработки таких данных, в том числе в виде целочисленных и/или текстовых значений и идентификаторов.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4.8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вправе пере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давать персональные данные третьим лицам с согласия субъекта персональных данных, а также в случаях,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4.9 В целях исполнения требований действующего законодательства России и своих договорных обязательств обработка персональных данных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осуществляется как с использованием, так и без использования средств автоматизации. Совок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упность операций обработки включает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4.10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не осуществляет принятия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4.11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не проверяет и, как правило, не имеет возможности проверить актуальность и достоверность предоставляемой субъектами персональных данных сведений, полученных посредством Сайта.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исходит из того, что субъекты персональных данных, действуя разумно и добросовестно, предоставляют достоверные и достаточные персональные данные и поддерживают их в актуальном состоянии.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5. Права субъектов персональных данных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5.1 Субъект персональных данных, персональные данные которого обрабатываются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 имеет право:</w:t>
      </w:r>
      <w:r/>
    </w:p>
    <w:p>
      <w:pPr>
        <w:pStyle w:val="732"/>
        <w:numPr>
          <w:ilvl w:val="0"/>
          <w:numId w:val="2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 любой момент изменить (обновить, дополнить) предоставленные им персональные данные, зайдя в Личный кабинет в случаях, когда это позволяет сделать функционал Сайта;</w:t>
      </w:r>
      <w:r/>
    </w:p>
    <w:p>
      <w:pPr>
        <w:pStyle w:val="732"/>
        <w:numPr>
          <w:ilvl w:val="0"/>
          <w:numId w:val="2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удалить предоставленные им персональные данные путем направления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письменного уведомления с указанием персональных данных, которые должны быть удалены;</w:t>
      </w:r>
      <w:r/>
    </w:p>
    <w:p>
      <w:pPr>
        <w:pStyle w:val="732"/>
        <w:numPr>
          <w:ilvl w:val="0"/>
          <w:numId w:val="2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получать от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подтверждение факта обработки персональных данных и сведения о наличии персональных данных, относящихся к соответствующему субъекту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сведения о правовых основаниях и целях обработки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сведения о применяемых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способах обработки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сведения о наименовании и местонахождении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сведения о лицах (за исключением работников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или на основании федерального закона;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обрабатываемые персональные данные, относящиеся к субъекту персональных данных, и информацию об источнике их получения, если иной порядок предоставления таких персональных данных не предусмотрен законодательством;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сведения о сроках обработки персональных данных, в том числе о сроках их хранения;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сведения о порядке осуществления субъектом персональных данных прав, предусмотренных законодательством о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наименование и адрес лиц, осуществляющих обработку персональных данных по поручению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· иные сведения, предусмотренные Законом;</w:t>
      </w:r>
      <w:r/>
    </w:p>
    <w:p>
      <w:pPr>
        <w:pStyle w:val="732"/>
        <w:numPr>
          <w:ilvl w:val="0"/>
          <w:numId w:val="3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требовать от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  <w:r/>
    </w:p>
    <w:p>
      <w:pPr>
        <w:pStyle w:val="732"/>
        <w:numPr>
          <w:ilvl w:val="0"/>
          <w:numId w:val="3"/>
        </w:num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отозвать свое согласие на обработку персональных данных в любой момент, направив электронное сообщение с электронной подписью по адресам электронной почты: </w:t>
      </w:r>
      <w:r>
        <w:rPr>
          <w:rFonts w:ascii="Liberation Sans" w:hAnsi="Liberation Sans" w:eastAsia="Liberation Sans" w:cs="Liberation Sans"/>
          <w:color w:val="1a1a1a"/>
          <w:sz w:val="24"/>
          <w:szCs w:val="24"/>
          <w:highlight w:val="white"/>
          <w:u w:val="single"/>
        </w:rPr>
        <w:t xml:space="preserve">ik7256536@yandex.ru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либо направив письменное уведомление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адресу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После получения такого сообщения обработка персональных данных субъекта персональных данных будет прекращена, а его персональные данные будут удалены, за исключением случаев, когда обработка может быть продолжена в соответствии с законодате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льством Российской Федерации. При этом направление такого сообщения об отзыве согласия Пользователем и(или) Покупателем также должно считаться уведомлением об одностороннем отказе от исполнения соответствующего Заказа и влечет невозможность его исполнения;</w:t>
      </w:r>
      <w:r/>
    </w:p>
    <w:p>
      <w:pPr>
        <w:pStyle w:val="732"/>
        <w:numPr>
          <w:ilvl w:val="0"/>
          <w:numId w:val="3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требовать устранения неправомерных действий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 отношении его персональных данных;</w:t>
      </w:r>
      <w:r/>
    </w:p>
    <w:p>
      <w:pPr>
        <w:pStyle w:val="732"/>
        <w:numPr>
          <w:ilvl w:val="0"/>
          <w:numId w:val="3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принимать предусмотренные законом меры по защите своих прав и законных интересов, в том числе на возмещения убытков и (или) компенсацию морального вреда в судебном порядке.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5.2 Права, предусмотренные подпунктами настоящего Раздела выше, могут быть ограничены в соответствии с требованиями законодательства России и (или) в случаях, когда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осуществляет обработку персональных данных на иных правовых основаниях, нежели согласие субъекта персональных данных.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6. Обязанности 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</w:r>
      <w:r>
        <w:rPr>
          <w:b/>
          <w:bCs/>
        </w:rPr>
      </w:r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 соответствии с требованиями Закона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обязан: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1) предост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авлять субъекту персональных данных по его запросу информацию, касающуюся обработки его персональных данных, либо на законных основаниях предоставить отказ в течение тридцати дней с даты получения запроса субъекта персональных данных или его представителя;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2) по требованию субъекта персональных данных уточнять, блокировать или удалять обрабатываемые персональны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 данные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 если персональные данные являются неполными,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устаревшими, неточными, незаконно полученными или не являются необходимыми для заявленной цели обработки в срок, не превышающий семи рабочих дней со дня предоставления субъектом персональных данных или его представителем сведений, подтверждающих эти факты;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3) вести журнал учета обращений субъектов персональных данных, в котором должны фиксироваться запросы субъектов персональных данных на получение персональных данных, а также факты предоставления персональных данных по этим запросам;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4) 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данных. Исключение составляют следующие случаи: 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субъект персональных данных уведомлен об осуществлении обработки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его персональных данных; 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персональные данные получены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в связи с исполнением договора, стороной которого либо выгодоприобретателем или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поручителем,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 которому является субъект персональных данных или на основании требования действующего законодательства;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персональные данных сделаны общедоступными субъектом персональных данных или получены из общедоступного источника;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осуществляет обработку обезличенных персональных данных для статистических или иных исследовательских целей, если при этом не нарушаются права и законные интересы субъекта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 предоставление субъекту персональных данных сведений, содержащихся в уведомлении об обработке персональных данных, нарушает права и законные интересы третьих лиц;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5) в случае достижения цели обработки персональных данны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х незамедлительно прекратить обработку персональных данных и уничтожить соответствующие персональные данные в срок, не превышающий тридцати дней с даты достижения цели обработки персональных данных, если иное не предусмотрено договором, стороной которого,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выгодоприобретателем или поручителем по которому является субъект персональных данных, иным соглашением между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 субъектом персональных данных либо если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не вправе осуществлять обработку персональных данных без согласия субъекта персональных данных на основаниях, предусмотренных Законом или другими федеральными законами;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6) в случае отзыва субъектом персон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альных данных согласия на обработку своих персональных данных прекратить обработку персональных данных и уничтожить персональных данных в срок, не превышающий тридцати дней с даты поступления указанного отзыва, если иное не предусмотрено соглашением между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 субъектом персональных данных. Об уничтожении персональных данных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обязана уведомить субъекта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7) в случае поступления требования субъекта персональных данных о прекращении обработки персональных данных, полученных в целях продвижения товаров, работ, услуг на рынке, немедленно прекратить обработку персональных данных;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8) при сборе персональных данных, в том числе посредством сети "Интернет",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7. Защита персональных данных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7.1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при обработке персональных данных принимает необходимые правовые, организационные и технические меры для защиты п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ерсональных данных от неправомерного и (или) несанкционированного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7.2 К таким мерам, в частности, относятся: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назначение лица, ответственного за организацию обработки персональных данных, и лица, ответственного за обеспечение безопасности данных;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разработка и утверждение локальных актов по вопросам обработки и защиты персональных данных;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применение правовых, организационных и технических мер по обеспечению безопасности персональных данных.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контроль за принимаемыми мерами по обеспечению безопасности персональных данных и уровнем защищенности информационных систем персональных данных;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оценка вреда, который может быть причинен субъектам персональных данных в случае нарушения требований законодательства о персональных данных, соотношение указанного вреда и принимаемых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мер, направленных на обеспечение выполнения обязанностей, предусмотренных законодательством о персональных данных;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  <w:r/>
    </w:p>
    <w:p>
      <w:pPr>
        <w:pStyle w:val="732"/>
        <w:numPr>
          <w:ilvl w:val="0"/>
          <w:numId w:val="4"/>
        </w:num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ознакомление работников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 непосредственно осуществляющих обработку персональных данных, с положениями законодательства России о персональных данных, в том числе с требованиями к защите персональных данных,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локальными актами по вопросам обработки и защиты персональных данных, и обучение работников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8. Сроки обработки (хранения) Персональных Данных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8.1 Сроки обработки (хранения) персональных данных определяются исходя из целей обработки персональных данных, в соответствии со сроком действия договоров с субъектами персональных данных, требованиями действующего законодательства: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персональные данные зарегистрированных Пользователей хранятся в течение всего срока действия Учетной записи Пользователя; 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персональные данные незарегистрированного Пользователя и получателя Товара (если в качестве получателя Товара указано иное лицо) хранятся в течение трех лет с момента исполнения Заказа такого Пользователя; 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Персональные данные иных лиц, обращающихся 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с заявлениями о предполагаемом нарушении их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прав, в течение всего срока обработки и рассмотрения соответствующих претензий и в течение трех лет с момента завершения обработки и (или) рассмотрения претензии, если законодательством не предусмотрен иной срок исковой давности для соответствующих споров.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8.2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Персональные данные, срок обработки (хранения) которых истек, должны быть уничтожены, если иное не предусмотрено законодательством Российской Федерации. Хранение персональных данных после прекращения их обработки допускается только после их обезличивания.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9. Порядок получения разъяснений по вопросам обработки Персональных Данных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9.1 Субъекты персональных данных, чьи персональные данные обрабатываются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, могут получить разъяснения по вопросам обработки своих персональных данных, обратившись лично в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или направив соответствующий письменный запрос по адресу местонахождения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10. Автоматически собираемая информация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10.1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может собирать и обрабатывать следующие сведения, в том числе сведения, не являющиеся персональными данными: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информацию об интересах Пользователей на Сайте на основе введенных поисковых запросов пользователей Сайта о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реализуемых и предлагаемых к продаже товаров с целью предоставления актуальной информации Пользователям при использовании Сайта, а также обобщения и анализа информации, о том какие разделы Сайта и товары пользуются наибольшим спросом у Пользователей Сайта;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информацию об интересах Пользователей Контакт-Центра на основе полученных обращений Пользо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вателей Контакт-Центра с целью предоставления актуальной информации Пользователям при использовании Контакт-Центра, а также обобщения и анализа информации, о том какие возможности Контакт-Центра пользуются наибольшим спросом у Пользователей Контакт-Центра;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10.2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осуществляет обработку 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хранение поисковых запросов Пользователей Сайта с целью обобщения,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и создания клиентской статистики об использовании разделов Сайта.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10.3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автоматически получает некоторые виды информации, получаемой в процессе взаимодействия Пользователей с Cайтом, пере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писки по электронной почте и т.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п. Речь идет о технологиях и сервисах, таких как веб-протоколы, Cookies, Веб-отметки, а также при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ложения и инструменты третьих лиц. При этом Веб-отметки, Cookies и другие мониторинговые технологии не дают возможность автоматически получать персональные данные. Если Пользователь Сайта по своему усмотрению предоставляет свои персональные данные, наприме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р, при заполнении формы обратной связи или при отправке электронного письма, то только тогда запускаются процессы автоматического сбора подробной информации для удобства пользования веб-сайтами и (или) для совершенствования взаимодействия с пользователями.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10.4 Если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может разумно соотнести указанные в настоящем Разделе сведения с Учетной записью конкретного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Пользователя,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то такие сведения могут обрабатываться совместно с Персональными Данными и иной личной информацией такого Пользователя.</w:t>
      </w:r>
      <w:r/>
    </w:p>
    <w:p>
      <w:pPr>
        <w:jc w:val="both"/>
        <w:spacing w:before="288" w:after="288" w:line="240" w:lineRule="auto"/>
        <w:shd w:val="clear" w:color="auto" w:fill="ffffff"/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outlineLvl w:val="1"/>
      </w:pP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11. Изменения Политики.</w:t>
      </w:r>
      <w:r>
        <w:rPr>
          <w:rFonts w:ascii="Times New Roman" w:hAnsi="Times New Roman" w:eastAsia="Times New Roman" w:cs="Times New Roman"/>
          <w:b/>
          <w:bCs/>
          <w:color w:val="202020"/>
          <w:sz w:val="24"/>
          <w:szCs w:val="24"/>
          <w:lang w:eastAsia="ru-RU"/>
        </w:rPr>
        <w:t xml:space="preserve"> Прочие положения</w:t>
      </w:r>
      <w:r/>
    </w:p>
    <w:p>
      <w:pPr>
        <w:jc w:val="both"/>
        <w:spacing w:after="240" w:line="240" w:lineRule="auto"/>
        <w:shd w:val="clear" w:color="auto" w:fill="ffffff"/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11.1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может периодически вносить изменения в настоящую Политику, в том числе, чтобы отражать изменения в объеме оказываемых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«ИП Коломейцева И.Э.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»</w:t>
      </w:r>
      <w:r/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202020"/>
          <w:sz w:val="24"/>
          <w:szCs w:val="24"/>
          <w:lang w:eastAsia="ru-RU"/>
        </w:rPr>
        <w:t xml:space="preserve">услуг или изменения в функциональности Сайта, а также изменения законодательства. Новая редакция указанных выше положений и конфиденциальности вступает в силу с момента ее опубликования, если в ней не указан иной срок ее вступления в силу.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9526" cy="9526"/>
              <wp:effectExtent l="0" t="0" r="0" b="0"/>
              <wp:docPr id="1" name="Рисунок 1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"/>
                      <pic:cNvPicPr/>
                      <pic:nvPr/>
                    </pic:nvPicPr>
                    <pic:blipFill>
                      <a:blip/>
                      <a:stretch/>
                    </pic:blipFill>
                    <pic:spPr bwMode="auto">
                      <a:xfrm>
                        <a:off x="0" y="0"/>
                        <a:ext cx="9526" cy="952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0.8pt;height:0.8pt;mso-wrap-distance-left:0.0pt;mso-wrap-distance-top:0.0pt;mso-wrap-distance-right:0.0pt;mso-wrap-distance-bottom:0.0pt;" stroked="false">
              <v:path textboxrect="0,0,0,0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8"/>
    <w:link w:val="714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18"/>
    <w:link w:val="715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3"/>
    <w:next w:val="71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8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18"/>
    <w:link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18"/>
    <w:link w:val="71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3"/>
    <w:next w:val="71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3"/>
    <w:next w:val="71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3"/>
    <w:next w:val="71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3"/>
    <w:next w:val="71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13"/>
    <w:next w:val="71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8"/>
    <w:link w:val="33"/>
    <w:uiPriority w:val="10"/>
    <w:rPr>
      <w:sz w:val="48"/>
      <w:szCs w:val="48"/>
    </w:rPr>
  </w:style>
  <w:style w:type="paragraph" w:styleId="35">
    <w:name w:val="Subtitle"/>
    <w:basedOn w:val="713"/>
    <w:next w:val="71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8"/>
    <w:link w:val="35"/>
    <w:uiPriority w:val="11"/>
    <w:rPr>
      <w:sz w:val="24"/>
      <w:szCs w:val="24"/>
    </w:rPr>
  </w:style>
  <w:style w:type="paragraph" w:styleId="37">
    <w:name w:val="Quote"/>
    <w:basedOn w:val="713"/>
    <w:next w:val="71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3"/>
    <w:next w:val="71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8"/>
    <w:link w:val="721"/>
    <w:uiPriority w:val="99"/>
  </w:style>
  <w:style w:type="character" w:styleId="44">
    <w:name w:val="Footer Char"/>
    <w:basedOn w:val="718"/>
    <w:link w:val="723"/>
    <w:uiPriority w:val="99"/>
  </w:style>
  <w:style w:type="paragraph" w:styleId="45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3"/>
    <w:uiPriority w:val="99"/>
  </w:style>
  <w:style w:type="table" w:styleId="47">
    <w:name w:val="Table Grid"/>
    <w:basedOn w:val="7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7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1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8"/>
    <w:uiPriority w:val="99"/>
    <w:unhideWhenUsed/>
    <w:rPr>
      <w:vertAlign w:val="superscript"/>
    </w:rPr>
  </w:style>
  <w:style w:type="paragraph" w:styleId="177">
    <w:name w:val="endnote text"/>
    <w:basedOn w:val="71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8"/>
    <w:uiPriority w:val="99"/>
    <w:semiHidden/>
    <w:unhideWhenUsed/>
    <w:rPr>
      <w:vertAlign w:val="superscript"/>
    </w:rPr>
  </w:style>
  <w:style w:type="paragraph" w:styleId="180">
    <w:name w:val="toc 1"/>
    <w:basedOn w:val="713"/>
    <w:next w:val="71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3"/>
    <w:next w:val="71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3"/>
    <w:next w:val="71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3"/>
    <w:next w:val="71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3"/>
    <w:next w:val="71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3"/>
    <w:next w:val="71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3"/>
    <w:next w:val="71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3"/>
    <w:next w:val="71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3"/>
    <w:next w:val="71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qFormat/>
  </w:style>
  <w:style w:type="paragraph" w:styleId="714">
    <w:name w:val="Heading 1"/>
    <w:basedOn w:val="713"/>
    <w:link w:val="725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715">
    <w:name w:val="Heading 2"/>
    <w:basedOn w:val="713"/>
    <w:link w:val="726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716">
    <w:name w:val="Heading 4"/>
    <w:basedOn w:val="713"/>
    <w:next w:val="713"/>
    <w:link w:val="729"/>
    <w:uiPriority w:val="9"/>
    <w:semiHidden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717">
    <w:name w:val="Heading 5"/>
    <w:basedOn w:val="713"/>
    <w:next w:val="713"/>
    <w:link w:val="730"/>
    <w:uiPriority w:val="9"/>
    <w:semiHidden/>
    <w:unhideWhenUsed/>
    <w:qFormat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paragraph" w:styleId="721">
    <w:name w:val="Header"/>
    <w:basedOn w:val="713"/>
    <w:link w:val="7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2" w:customStyle="1">
    <w:name w:val="Верхний колонтитул Знак"/>
    <w:basedOn w:val="718"/>
    <w:link w:val="721"/>
    <w:uiPriority w:val="99"/>
  </w:style>
  <w:style w:type="paragraph" w:styleId="723">
    <w:name w:val="Footer"/>
    <w:basedOn w:val="713"/>
    <w:link w:val="72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4" w:customStyle="1">
    <w:name w:val="Нижний колонтитул Знак"/>
    <w:basedOn w:val="718"/>
    <w:link w:val="723"/>
    <w:uiPriority w:val="99"/>
  </w:style>
  <w:style w:type="character" w:styleId="725" w:customStyle="1">
    <w:name w:val="Заголовок 1 Знак"/>
    <w:basedOn w:val="718"/>
    <w:link w:val="714"/>
    <w:uiPriority w:val="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726" w:customStyle="1">
    <w:name w:val="Заголовок 2 Знак"/>
    <w:basedOn w:val="718"/>
    <w:link w:val="715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727">
    <w:name w:val="Normal (Web)"/>
    <w:basedOn w:val="71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28">
    <w:name w:val="Hyperlink"/>
    <w:basedOn w:val="718"/>
    <w:uiPriority w:val="99"/>
    <w:unhideWhenUsed/>
    <w:rPr>
      <w:color w:val="0000ff"/>
      <w:u w:val="single"/>
    </w:rPr>
  </w:style>
  <w:style w:type="character" w:styleId="729" w:customStyle="1">
    <w:name w:val="Заголовок 4 Знак"/>
    <w:basedOn w:val="718"/>
    <w:link w:val="716"/>
    <w:uiPriority w:val="9"/>
    <w:semiHidden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730" w:customStyle="1">
    <w:name w:val="Заголовок 5 Знак"/>
    <w:basedOn w:val="718"/>
    <w:link w:val="717"/>
    <w:uiPriority w:val="9"/>
    <w:semiHidden/>
    <w:rPr>
      <w:rFonts w:asciiTheme="majorHAnsi" w:hAnsiTheme="majorHAnsi" w:eastAsiaTheme="majorEastAsia" w:cstheme="majorBidi"/>
      <w:color w:val="2f5496" w:themeColor="accent1" w:themeShade="BF"/>
    </w:rPr>
  </w:style>
  <w:style w:type="character" w:styleId="731">
    <w:name w:val="FollowedHyperlink"/>
    <w:basedOn w:val="718"/>
    <w:uiPriority w:val="99"/>
    <w:semiHidden/>
    <w:unhideWhenUsed/>
    <w:rPr>
      <w:color w:val="954f72" w:themeColor="followedHyperlink"/>
      <w:u w:val="single"/>
    </w:rPr>
  </w:style>
  <w:style w:type="paragraph" w:styleId="732">
    <w:name w:val="List Paragraph"/>
    <w:basedOn w:val="713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hyperlink" Target="http://www._________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ПАО Сбербанк России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Патарович Валерий Юрьевич</dc:creator>
  <cp:keywords/>
  <dc:description/>
  <cp:lastModifiedBy>Ирина Коломейцева</cp:lastModifiedBy>
  <cp:revision>23</cp:revision>
  <dcterms:created xsi:type="dcterms:W3CDTF">2021-09-14T06:46:00Z</dcterms:created>
  <dcterms:modified xsi:type="dcterms:W3CDTF">2022-11-02T15:27:02Z</dcterms:modified>
</cp:coreProperties>
</file>